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15FD0" w:rsidRPr="00DA1B7F" w:rsidRDefault="00E97D0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№5</w:t>
      </w:r>
    </w:p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15FD0" w:rsidRPr="00987314" w:rsidRDefault="00115FD0" w:rsidP="00115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987314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«Об источниках наружного противопожарного водоснабжения для целей пожаротушения на территории муниципального образования Елаурское сельское поселение Сенгилеевского района Ульяновской области».</w:t>
      </w:r>
    </w:p>
    <w:p w:rsidR="00115FD0" w:rsidRPr="00987314" w:rsidRDefault="00115FD0" w:rsidP="00115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15FD0" w:rsidRDefault="00115FD0" w:rsidP="00115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FD0" w:rsidRPr="00602070" w:rsidRDefault="00115FD0" w:rsidP="00115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15FD0" w:rsidRPr="00602070" w:rsidRDefault="00115FD0" w:rsidP="00DF05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987314">
        <w:rPr>
          <w:rFonts w:ascii="Times New Roman" w:hAnsi="Times New Roman" w:cs="Times New Roman"/>
          <w:sz w:val="20"/>
          <w:szCs w:val="20"/>
        </w:rPr>
        <w:t>«Об источниках наружного противопожарного водоснабжения для целей пожаротушения на территории муниципального образования Елаурское сельское поселение Сенгилеевского района Ульяновской области».</w:t>
      </w:r>
    </w:p>
    <w:p w:rsidR="00115FD0" w:rsidRPr="00602070" w:rsidRDefault="00115FD0" w:rsidP="00DF05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15FD0" w:rsidRPr="00DA1B7F" w:rsidRDefault="00115FD0" w:rsidP="00DF0548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15FD0" w:rsidRPr="00DA1B7F" w:rsidRDefault="00115FD0" w:rsidP="00115FD0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15FD0" w:rsidRPr="00DA1B7F" w:rsidRDefault="00115FD0" w:rsidP="00115FD0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115FD0" w:rsidRPr="00987314" w:rsidRDefault="00115FD0" w:rsidP="00115FD0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87314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87314">
        <w:rPr>
          <w:sz w:val="20"/>
          <w:shd w:val="clear" w:color="auto" w:fill="FFFFFF"/>
        </w:rPr>
        <w:t xml:space="preserve">в соответствии </w:t>
      </w:r>
      <w:r w:rsidRPr="00987314">
        <w:rPr>
          <w:sz w:val="20"/>
        </w:rPr>
        <w:t xml:space="preserve">с </w:t>
      </w:r>
      <w:hyperlink r:id="rId5" w:history="1">
        <w:r w:rsidRPr="00987314">
          <w:rPr>
            <w:rStyle w:val="a5"/>
            <w:rFonts w:cs="Times New Roman CYR"/>
            <w:color w:val="auto"/>
            <w:sz w:val="20"/>
          </w:rPr>
          <w:t>Федеральным законом</w:t>
        </w:r>
      </w:hyperlink>
      <w:r w:rsidRPr="00987314">
        <w:rPr>
          <w:sz w:val="20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21.12.1994 №69-ФЗ «О пожарной безопасности», Уставом муниципального образования Елаурское сельское поселение.</w:t>
      </w:r>
    </w:p>
    <w:p w:rsidR="00115FD0" w:rsidRPr="00602070" w:rsidRDefault="00115FD0" w:rsidP="00115FD0">
      <w:pPr>
        <w:pStyle w:val="ConsPlusNormal"/>
        <w:ind w:firstLine="567"/>
        <w:jc w:val="both"/>
        <w:rPr>
          <w:spacing w:val="10"/>
          <w:sz w:val="20"/>
        </w:rPr>
      </w:pPr>
    </w:p>
    <w:p w:rsidR="00115FD0" w:rsidRPr="00DA1B7F" w:rsidRDefault="00115FD0" w:rsidP="00115FD0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A1B7F">
        <w:rPr>
          <w:rFonts w:ascii="PT Astra Serif" w:hAnsi="PT Astra Serif"/>
          <w:b/>
          <w:sz w:val="20"/>
          <w:szCs w:val="20"/>
        </w:rPr>
        <w:t xml:space="preserve">3. </w:t>
      </w:r>
      <w:proofErr w:type="gramStart"/>
      <w:r w:rsidRPr="00DA1B7F">
        <w:rPr>
          <w:rFonts w:ascii="PT Astra Serif" w:hAnsi="PT Astra Serif"/>
          <w:b/>
          <w:sz w:val="20"/>
          <w:szCs w:val="20"/>
        </w:rPr>
        <w:t>Выявленные</w:t>
      </w:r>
      <w:proofErr w:type="gramEnd"/>
      <w:r w:rsidRPr="00DA1B7F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115FD0" w:rsidRPr="00DA1B7F" w:rsidRDefault="00115FD0" w:rsidP="00115FD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15FD0" w:rsidRPr="00DA1B7F" w:rsidRDefault="00115FD0" w:rsidP="00115F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15FD0" w:rsidRPr="00DA1B7F" w:rsidRDefault="00115FD0" w:rsidP="00115F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15FD0" w:rsidRPr="00DA1B7F" w:rsidRDefault="00115FD0" w:rsidP="00115FD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15FD0" w:rsidRPr="00DA1B7F" w:rsidRDefault="00115FD0" w:rsidP="00115F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Pr="00DA1B7F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15FD0" w:rsidRPr="00DA1B7F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15FD0" w:rsidRPr="00DA1B7F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115FD0" w:rsidRDefault="00115FD0" w:rsidP="00115FD0">
      <w:pPr>
        <w:rPr>
          <w:rFonts w:ascii="PT Astra Serif" w:hAnsi="PT Astra Serif" w:cs="Times New Roman"/>
          <w:sz w:val="20"/>
          <w:szCs w:val="20"/>
        </w:rPr>
      </w:pPr>
    </w:p>
    <w:sectPr w:rsidR="00115FD0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72E2D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66E60"/>
    <w:rsid w:val="00484257"/>
    <w:rsid w:val="00493EAA"/>
    <w:rsid w:val="00496CAC"/>
    <w:rsid w:val="004A74D9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1EAD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669D3"/>
    <w:rsid w:val="00C764AA"/>
    <w:rsid w:val="00C774E5"/>
    <w:rsid w:val="00C8030A"/>
    <w:rsid w:val="00CA16AF"/>
    <w:rsid w:val="00CA383D"/>
    <w:rsid w:val="00CA74F3"/>
    <w:rsid w:val="00D07D58"/>
    <w:rsid w:val="00D37D9F"/>
    <w:rsid w:val="00D77A75"/>
    <w:rsid w:val="00D811BC"/>
    <w:rsid w:val="00DA1B7F"/>
    <w:rsid w:val="00DC3254"/>
    <w:rsid w:val="00DD0593"/>
    <w:rsid w:val="00DE11B2"/>
    <w:rsid w:val="00DF0548"/>
    <w:rsid w:val="00DF5678"/>
    <w:rsid w:val="00E023D3"/>
    <w:rsid w:val="00E04342"/>
    <w:rsid w:val="00E255A3"/>
    <w:rsid w:val="00E33674"/>
    <w:rsid w:val="00E82CA4"/>
    <w:rsid w:val="00E97D00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83527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58CD9-678E-4890-9F2C-FE2AD4E2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2024-07-08T07:44:00Z</dcterms:created>
  <dcterms:modified xsi:type="dcterms:W3CDTF">2024-07-08T07:55:00Z</dcterms:modified>
</cp:coreProperties>
</file>