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15FD0" w:rsidRPr="00DA1B7F" w:rsidRDefault="00F83527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21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февраля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15FD0" w:rsidRPr="00DA1B7F" w:rsidRDefault="00115FD0" w:rsidP="00115FD0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15FD0" w:rsidRPr="00602070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sz w:val="20"/>
          <w:szCs w:val="20"/>
        </w:rPr>
        <w:t xml:space="preserve">проект </w:t>
      </w:r>
      <w:r w:rsidRPr="00602070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Елаурское сельское поселение «</w:t>
      </w:r>
      <w:r w:rsidRPr="00602070">
        <w:rPr>
          <w:rFonts w:ascii="Times New Roman" w:eastAsia="Times New Roman" w:hAnsi="Times New Roman" w:cs="Times New Roman"/>
          <w:sz w:val="20"/>
          <w:szCs w:val="20"/>
        </w:rPr>
        <w:t>Об образовании Единой (конкурсной, аукционной) комиссии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2070">
        <w:rPr>
          <w:rFonts w:ascii="Times New Roman" w:eastAsia="Times New Roman" w:hAnsi="Times New Roman" w:cs="Times New Roman"/>
          <w:sz w:val="20"/>
          <w:szCs w:val="20"/>
        </w:rPr>
        <w:t>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муниципального образования Елаурское  сельское поселение Сенгилеевского</w:t>
      </w:r>
      <w:proofErr w:type="gramEnd"/>
      <w:r w:rsidRPr="00602070">
        <w:rPr>
          <w:rFonts w:ascii="Times New Roman" w:eastAsia="Times New Roman" w:hAnsi="Times New Roman" w:cs="Times New Roman"/>
          <w:sz w:val="20"/>
          <w:szCs w:val="20"/>
        </w:rPr>
        <w:t xml:space="preserve"> района Ульяновской области</w:t>
      </w:r>
      <w:r w:rsidRPr="00602070">
        <w:rPr>
          <w:rFonts w:ascii="Times New Roman" w:hAnsi="Times New Roman" w:cs="Times New Roman"/>
          <w:sz w:val="20"/>
          <w:szCs w:val="20"/>
        </w:rPr>
        <w:t>»</w:t>
      </w:r>
    </w:p>
    <w:p w:rsidR="00115FD0" w:rsidRPr="00602070" w:rsidRDefault="00115FD0" w:rsidP="00115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15FD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FD0" w:rsidRPr="00602070" w:rsidRDefault="00115FD0" w:rsidP="00115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15FD0" w:rsidRPr="00602070" w:rsidRDefault="00115FD0" w:rsidP="00CA60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>проект постановления</w:t>
      </w:r>
      <w:r w:rsidRPr="00602070">
        <w:rPr>
          <w:rFonts w:ascii="Times New Roman" w:hAnsi="Times New Roman" w:cs="Times New Roman"/>
          <w:sz w:val="20"/>
          <w:szCs w:val="20"/>
        </w:rPr>
        <w:t xml:space="preserve"> администрации муниципального образования Елаурское сельское поселение «</w:t>
      </w:r>
      <w:r w:rsidRPr="00602070">
        <w:rPr>
          <w:rFonts w:ascii="Times New Roman" w:eastAsia="Times New Roman" w:hAnsi="Times New Roman" w:cs="Times New Roman"/>
          <w:sz w:val="20"/>
          <w:szCs w:val="20"/>
        </w:rPr>
        <w:t>Об образовании Единой (конкурсной, аукционной) комиссии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2070">
        <w:rPr>
          <w:rFonts w:ascii="Times New Roman" w:eastAsia="Times New Roman" w:hAnsi="Times New Roman" w:cs="Times New Roman"/>
          <w:sz w:val="20"/>
          <w:szCs w:val="20"/>
        </w:rPr>
        <w:t>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муниципального образования Елаурское  сельское поселение Сенгилеевского района Ульяновской области</w:t>
      </w:r>
      <w:r w:rsidRPr="0060207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15FD0" w:rsidRPr="00602070" w:rsidRDefault="00115FD0" w:rsidP="00CA60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15FD0" w:rsidRPr="00DA1B7F" w:rsidRDefault="00115FD0" w:rsidP="00CA6051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15FD0" w:rsidRPr="00DA1B7F" w:rsidRDefault="00115FD0" w:rsidP="00115FD0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115FD0" w:rsidRDefault="00115FD0" w:rsidP="00115FD0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602070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602070">
        <w:rPr>
          <w:color w:val="000000"/>
          <w:sz w:val="20"/>
          <w:shd w:val="clear" w:color="auto" w:fill="FFFFFF"/>
        </w:rPr>
        <w:t xml:space="preserve">в соответствии с </w:t>
      </w:r>
      <w:r w:rsidRPr="00602070">
        <w:rPr>
          <w:sz w:val="20"/>
        </w:rPr>
        <w:t>Федеральным законом №178-ФЗ от 21.12.2001 года «О приватизации государственного и муниципального имущества», Федеральным законом от 26.07.2006 № 135-ФЗ «О защите конкуренции»,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602070">
        <w:rPr>
          <w:sz w:val="20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602070">
        <w:rPr>
          <w:sz w:val="20"/>
          <w:shd w:val="clear" w:color="auto" w:fill="FFFFFF"/>
        </w:rPr>
        <w:t>.</w:t>
      </w:r>
    </w:p>
    <w:p w:rsidR="00115FD0" w:rsidRPr="00602070" w:rsidRDefault="00115FD0" w:rsidP="00115FD0">
      <w:pPr>
        <w:pStyle w:val="ConsPlusNormal"/>
        <w:ind w:firstLine="567"/>
        <w:jc w:val="both"/>
        <w:rPr>
          <w:spacing w:val="10"/>
          <w:sz w:val="20"/>
        </w:rPr>
      </w:pPr>
    </w:p>
    <w:p w:rsidR="00115FD0" w:rsidRPr="00DA1B7F" w:rsidRDefault="00115FD0" w:rsidP="00115FD0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15FD0" w:rsidRPr="00DA1B7F" w:rsidRDefault="00115FD0" w:rsidP="00115FD0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 xml:space="preserve">проект </w:t>
      </w:r>
      <w:r w:rsidRPr="00DA1B7F">
        <w:rPr>
          <w:rFonts w:ascii="PT Astra Serif" w:hAnsi="PT Astra Serif" w:cs="Times New Roman"/>
          <w:sz w:val="20"/>
          <w:szCs w:val="20"/>
        </w:rPr>
        <w:t>постановлени</w:t>
      </w:r>
      <w:r>
        <w:rPr>
          <w:rFonts w:ascii="PT Astra Serif" w:hAnsi="PT Astra Serif" w:cs="Times New Roman"/>
          <w:sz w:val="20"/>
          <w:szCs w:val="20"/>
        </w:rPr>
        <w:t>я</w:t>
      </w:r>
      <w:r w:rsidRPr="00DA1B7F">
        <w:rPr>
          <w:rFonts w:ascii="PT Astra Serif" w:hAnsi="PT Astra Serif" w:cs="Times New Roman"/>
          <w:sz w:val="20"/>
          <w:szCs w:val="20"/>
        </w:rPr>
        <w:t xml:space="preserve"> администрации МО Елаурское сельское поселение признаётся прошедшим антикоррупционную экспертизу.</w:t>
      </w: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15FD0" w:rsidRPr="00DA1B7F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15FD0" w:rsidRDefault="00115FD0" w:rsidP="00115FD0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sectPr w:rsidR="00115FD0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72E2D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05352"/>
    <w:rsid w:val="00424710"/>
    <w:rsid w:val="00425442"/>
    <w:rsid w:val="00450FBB"/>
    <w:rsid w:val="004569EF"/>
    <w:rsid w:val="00460D0B"/>
    <w:rsid w:val="00466E60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66531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669D3"/>
    <w:rsid w:val="00C764AA"/>
    <w:rsid w:val="00C774E5"/>
    <w:rsid w:val="00C8030A"/>
    <w:rsid w:val="00CA16AF"/>
    <w:rsid w:val="00CA383D"/>
    <w:rsid w:val="00CA6051"/>
    <w:rsid w:val="00CA74F3"/>
    <w:rsid w:val="00D07D58"/>
    <w:rsid w:val="00D37D9F"/>
    <w:rsid w:val="00D77A75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83527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CAFA8-BF30-4900-A698-744F0E83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2024-06-10T05:31:00Z</cp:lastPrinted>
  <dcterms:created xsi:type="dcterms:W3CDTF">2024-07-08T07:43:00Z</dcterms:created>
  <dcterms:modified xsi:type="dcterms:W3CDTF">2024-07-08T07:47:00Z</dcterms:modified>
</cp:coreProperties>
</file>